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F3DC" w14:textId="3D781459" w:rsidR="00801C22" w:rsidRDefault="00801C22" w:rsidP="00801C22">
      <w:r>
        <w:t>0</w:t>
      </w:r>
      <w:r w:rsidR="005B6AAF">
        <w:t>9</w:t>
      </w:r>
      <w:r>
        <w:t>/10/2023:</w:t>
      </w:r>
    </w:p>
    <w:p w14:paraId="56C5705C" w14:textId="1EA7DF63" w:rsidR="00801C22" w:rsidRDefault="00801C22" w:rsidP="00665755">
      <w:pPr>
        <w:jc w:val="both"/>
      </w:pPr>
      <w:bookmarkStart w:id="0" w:name="_Hlk148969297"/>
      <w:r>
        <w:t>A seguito di quesiti pervenuti, si precisa quanto segue:</w:t>
      </w:r>
    </w:p>
    <w:p w14:paraId="293192F6" w14:textId="15D315F1" w:rsidR="00801C22" w:rsidRDefault="00801C22" w:rsidP="00665755">
      <w:pPr>
        <w:pStyle w:val="Paragrafoelenco"/>
        <w:numPr>
          <w:ilvl w:val="0"/>
          <w:numId w:val="1"/>
        </w:numPr>
        <w:jc w:val="both"/>
      </w:pPr>
      <w:r>
        <w:t xml:space="preserve">I documenti amministrativi e la cauzione (assegno o copia di avvenuto bonifico) possono essere inseriti direttamente nella busta principale, sulla quale si raccomanda di indicare, </w:t>
      </w:r>
      <w:r w:rsidRPr="00801C22">
        <w:rPr>
          <w:b/>
          <w:bCs/>
        </w:rPr>
        <w:t>a pena di esclusione</w:t>
      </w:r>
      <w:r>
        <w:t>, il proprio nominativo e la dicitura: "VENDITA IMMOBILI ZONA MENDOLA - LOTTI ________ (</w:t>
      </w:r>
      <w:r w:rsidRPr="00801C22">
        <w:rPr>
          <w:i/>
          <w:iCs/>
        </w:rPr>
        <w:t>indicare il</w:t>
      </w:r>
      <w:r>
        <w:rPr>
          <w:i/>
          <w:iCs/>
        </w:rPr>
        <w:t>/</w:t>
      </w:r>
      <w:r w:rsidRPr="00801C22">
        <w:rPr>
          <w:i/>
          <w:iCs/>
        </w:rPr>
        <w:t xml:space="preserve"> i lott</w:t>
      </w:r>
      <w:r>
        <w:rPr>
          <w:i/>
          <w:iCs/>
        </w:rPr>
        <w:t>o/i</w:t>
      </w:r>
      <w:r w:rsidRPr="00801C22">
        <w:rPr>
          <w:i/>
          <w:iCs/>
        </w:rPr>
        <w:t xml:space="preserve">i </w:t>
      </w:r>
      <w:bookmarkEnd w:id="0"/>
      <w:r w:rsidRPr="00801C22">
        <w:rPr>
          <w:i/>
          <w:iCs/>
        </w:rPr>
        <w:t>per cui si sta presentando offerta</w:t>
      </w:r>
      <w:r>
        <w:t xml:space="preserve">)”; non serve siano quindi inseriti in un’ulteriore busta interna. </w:t>
      </w:r>
    </w:p>
    <w:p w14:paraId="1E568515" w14:textId="7C5418B2" w:rsidR="00801C22" w:rsidRDefault="00801C22" w:rsidP="00665755">
      <w:pPr>
        <w:pStyle w:val="Paragrafoelenco"/>
        <w:jc w:val="both"/>
      </w:pPr>
      <w:r>
        <w:t xml:space="preserve">Dovrà invece essere inserita in una apposita busta </w:t>
      </w:r>
      <w:r w:rsidRPr="00801C22">
        <w:rPr>
          <w:i/>
          <w:iCs/>
        </w:rPr>
        <w:t>sigillata</w:t>
      </w:r>
      <w:r>
        <w:t xml:space="preserve"> l’offerta economica: </w:t>
      </w:r>
      <w:r w:rsidRPr="00801C22">
        <w:rPr>
          <w:i/>
          <w:iCs/>
        </w:rPr>
        <w:t>una busta per ciascun lotto</w:t>
      </w:r>
      <w:r>
        <w:t xml:space="preserve">, con all’esterno indicate le diciture previste </w:t>
      </w:r>
      <w:r w:rsidRPr="00801C22">
        <w:rPr>
          <w:b/>
          <w:bCs/>
        </w:rPr>
        <w:t>a pena di esclusione</w:t>
      </w:r>
      <w:r>
        <w:t xml:space="preserve"> (nominativo dell’offerente e "VENDITA IMMOBILI ZONA MENDOLA-LOTTO __ - OFFERTA ECONOMICA").</w:t>
      </w:r>
    </w:p>
    <w:p w14:paraId="41445DC0" w14:textId="77777777" w:rsidR="00B86770" w:rsidRDefault="00B86770" w:rsidP="00665755">
      <w:pPr>
        <w:pStyle w:val="Paragrafoelenco"/>
        <w:jc w:val="both"/>
      </w:pPr>
    </w:p>
    <w:p w14:paraId="50929F0E" w14:textId="72D6B220" w:rsidR="00801C22" w:rsidRDefault="00801C22" w:rsidP="00665755">
      <w:pPr>
        <w:pStyle w:val="Paragrafoelenco"/>
        <w:numPr>
          <w:ilvl w:val="0"/>
          <w:numId w:val="1"/>
        </w:numPr>
        <w:jc w:val="both"/>
      </w:pPr>
      <w:r>
        <w:t xml:space="preserve">Le informazioni di carattere urbanistico ed edilizio possono essere reperite presso l’Ufficio tecnico comunale, non essendo oggetto diretto della presente procedura; </w:t>
      </w:r>
      <w:r w:rsidR="00761248">
        <w:t>nella documentazione tecnica vengono riportate le previsioni del piano attuativo valido per la zona, per l’</w:t>
      </w:r>
      <w:r w:rsidR="00A95DFB">
        <w:t>applicazione</w:t>
      </w:r>
      <w:r w:rsidR="00761248">
        <w:t xml:space="preserve"> delle quali si suggerisce di farsi supportare da un tecnico</w:t>
      </w:r>
      <w:r w:rsidR="00B86770">
        <w:t>.</w:t>
      </w:r>
    </w:p>
    <w:p w14:paraId="0D9830CF" w14:textId="77777777" w:rsidR="00B86770" w:rsidRDefault="00B86770" w:rsidP="00665755">
      <w:pPr>
        <w:pStyle w:val="Paragrafoelenco"/>
        <w:jc w:val="both"/>
      </w:pPr>
    </w:p>
    <w:p w14:paraId="4A87DCB8" w14:textId="7B8ADFF0" w:rsidR="00801C22" w:rsidRDefault="00B86770" w:rsidP="00665755">
      <w:pPr>
        <w:pStyle w:val="Paragrafoelenco"/>
        <w:numPr>
          <w:ilvl w:val="0"/>
          <w:numId w:val="1"/>
        </w:numPr>
        <w:jc w:val="both"/>
      </w:pPr>
      <w:r>
        <w:t>La cauzione è volta a garantire la serietà dell’offerta: in caso di aggiudicazione verrà trattenuta qualora non si concludesse la compravendita per cause imputabili all’offerente. L’offerta può essere ritirata senza perdita della cauzione solo prima dell’inizio della seduta pubblica.</w:t>
      </w:r>
    </w:p>
    <w:p w14:paraId="25C05CBC" w14:textId="77777777" w:rsidR="00B86770" w:rsidRDefault="00B86770" w:rsidP="00665755">
      <w:pPr>
        <w:pStyle w:val="Paragrafoelenco"/>
        <w:jc w:val="both"/>
      </w:pPr>
    </w:p>
    <w:p w14:paraId="19BDE9D5" w14:textId="1A1A419E" w:rsidR="00B86770" w:rsidRDefault="00B86770" w:rsidP="00665755">
      <w:pPr>
        <w:pStyle w:val="Paragrafoelenco"/>
        <w:numPr>
          <w:ilvl w:val="0"/>
          <w:numId w:val="1"/>
        </w:numPr>
        <w:jc w:val="both"/>
      </w:pPr>
      <w:r>
        <w:t>Non si fanno consulenze in materia fiscale; si ricorda che il prezzo offerto è da intendersi AL NETTO degli oneri fiscali.</w:t>
      </w:r>
    </w:p>
    <w:p w14:paraId="5CEDB50F" w14:textId="75CD7BE2" w:rsidR="00801C22" w:rsidRDefault="00801C22" w:rsidP="00801C22"/>
    <w:p w14:paraId="67168103" w14:textId="26E36AC0" w:rsidR="00A95DFB" w:rsidRDefault="00A95DFB" w:rsidP="00801C22">
      <w:r>
        <w:t>12/10/2023</w:t>
      </w:r>
    </w:p>
    <w:p w14:paraId="7D830EEE" w14:textId="1D9F5CAB" w:rsidR="00A95DFB" w:rsidRPr="00A95DFB" w:rsidRDefault="00A95DFB" w:rsidP="00801C22">
      <w:pPr>
        <w:rPr>
          <w:u w:val="single"/>
        </w:rPr>
      </w:pPr>
      <w:r w:rsidRPr="00A95DFB">
        <w:rPr>
          <w:u w:val="single"/>
        </w:rPr>
        <w:t>LOTTO 5</w:t>
      </w:r>
    </w:p>
    <w:p w14:paraId="05B2CE5D" w14:textId="00F015FD" w:rsidR="00A95DFB" w:rsidRDefault="00A95DFB" w:rsidP="00A95DFB">
      <w:pPr>
        <w:jc w:val="both"/>
      </w:pPr>
      <w:r>
        <w:t xml:space="preserve">A seguito di quesiti pervenuti, si precisa che le particelle </w:t>
      </w:r>
      <w:r w:rsidR="00290DB2">
        <w:t>limitrofe</w:t>
      </w:r>
      <w:r>
        <w:t xml:space="preserve"> alla </w:t>
      </w:r>
      <w:proofErr w:type="spellStart"/>
      <w:r>
        <w:t>p.ed</w:t>
      </w:r>
      <w:proofErr w:type="spellEnd"/>
      <w:r>
        <w:t xml:space="preserve">. 688, ovvero le </w:t>
      </w:r>
      <w:proofErr w:type="spellStart"/>
      <w:r>
        <w:t>pp</w:t>
      </w:r>
      <w:r w:rsidR="00414579">
        <w:t>.</w:t>
      </w:r>
      <w:r>
        <w:t>ff</w:t>
      </w:r>
      <w:proofErr w:type="spellEnd"/>
      <w:r>
        <w:t>. 1503/4, 1516, 1521/12, sono di proprietà del Comune di Cavareno.</w:t>
      </w:r>
    </w:p>
    <w:p w14:paraId="4A8BF09F" w14:textId="759AD608" w:rsidR="0083228F" w:rsidRDefault="0083228F" w:rsidP="00A95DFB">
      <w:pPr>
        <w:jc w:val="both"/>
      </w:pPr>
    </w:p>
    <w:p w14:paraId="5011DBAE" w14:textId="005550DF" w:rsidR="0083228F" w:rsidRDefault="0083228F" w:rsidP="00A95DFB">
      <w:pPr>
        <w:jc w:val="both"/>
      </w:pPr>
      <w:bookmarkStart w:id="1" w:name="_Hlk149142871"/>
      <w:r>
        <w:t>24/10/2023</w:t>
      </w:r>
    </w:p>
    <w:p w14:paraId="63DC2098" w14:textId="77777777" w:rsidR="0083228F" w:rsidRDefault="0083228F" w:rsidP="0083228F">
      <w:pPr>
        <w:jc w:val="both"/>
      </w:pPr>
      <w:r>
        <w:t>A seguito di quesiti pervenuti, si precisa quanto segue:</w:t>
      </w:r>
    </w:p>
    <w:bookmarkEnd w:id="1"/>
    <w:p w14:paraId="640C3395" w14:textId="3C2B02D6" w:rsidR="0083228F" w:rsidRDefault="0083228F" w:rsidP="0083228F">
      <w:pPr>
        <w:pStyle w:val="Paragrafoelenco"/>
        <w:numPr>
          <w:ilvl w:val="0"/>
          <w:numId w:val="1"/>
        </w:numPr>
        <w:jc w:val="both"/>
      </w:pPr>
      <w:r>
        <w:t>L’area pertinenziale indicata nell’art. 37 co. 2 delle norme del piano attuativo (riportate nella documentazione tecnica allegata al bando) è già stata prevista nella redazione del frazionamento delle singole particelle; viene quindi ceduta assieme al mero sedime dell’edificio.</w:t>
      </w:r>
    </w:p>
    <w:p w14:paraId="59189BE8" w14:textId="77777777" w:rsidR="0083228F" w:rsidRDefault="0083228F" w:rsidP="0083228F">
      <w:pPr>
        <w:pStyle w:val="Paragrafoelenco"/>
        <w:jc w:val="both"/>
      </w:pPr>
    </w:p>
    <w:p w14:paraId="0B97FE9B" w14:textId="51863F9E" w:rsidR="0083228F" w:rsidRDefault="0083228F" w:rsidP="0083228F">
      <w:pPr>
        <w:pStyle w:val="Paragrafoelenco"/>
        <w:numPr>
          <w:ilvl w:val="0"/>
          <w:numId w:val="1"/>
        </w:numPr>
        <w:jc w:val="both"/>
      </w:pPr>
      <w:r>
        <w:t xml:space="preserve">Nel caso si decida di presentare offerta per più lotti, importo della cauzione resta invariato e quindi sempre pari a € 3.000 indipendentemente dal numero di lotti per cui si presenta offerta. Nella causale vanno indicati i numeri </w:t>
      </w:r>
      <w:r w:rsidR="001A350C">
        <w:t>di tutti i</w:t>
      </w:r>
      <w:r>
        <w:t xml:space="preserve"> lotti per i quali si intende presentare offerta.</w:t>
      </w:r>
    </w:p>
    <w:p w14:paraId="70A0AD01" w14:textId="77777777" w:rsidR="0083228F" w:rsidRDefault="0083228F" w:rsidP="0083228F">
      <w:pPr>
        <w:pStyle w:val="Paragrafoelenco"/>
      </w:pPr>
    </w:p>
    <w:p w14:paraId="2E1B83EB" w14:textId="78C0E142" w:rsidR="0083228F" w:rsidRDefault="001A350C" w:rsidP="0083228F">
      <w:pPr>
        <w:pStyle w:val="Paragrafoelenco"/>
        <w:numPr>
          <w:ilvl w:val="0"/>
          <w:numId w:val="1"/>
        </w:numPr>
        <w:jc w:val="both"/>
      </w:pPr>
      <w:r>
        <w:t>Nell’offerta economica, dove si prevede che “</w:t>
      </w:r>
      <w:r w:rsidRPr="001A350C">
        <w:t>La presente offerta è da considerarsi ad ogni effetto incondizionata, vincolante, ferma ed irrevocabile sino al _______________</w:t>
      </w:r>
      <w:r>
        <w:t>” deve essere indicata una data non antecedente al 31/03/2024, quindi anche “31/03/2024” è corretto.</w:t>
      </w:r>
    </w:p>
    <w:p w14:paraId="6A44E08C" w14:textId="77777777" w:rsidR="00447A8E" w:rsidRDefault="00447A8E" w:rsidP="00447A8E">
      <w:pPr>
        <w:pStyle w:val="Paragrafoelenco"/>
      </w:pPr>
    </w:p>
    <w:p w14:paraId="1DB2AA88" w14:textId="5E9D71BB" w:rsidR="00447A8E" w:rsidRDefault="00447A8E" w:rsidP="0083228F">
      <w:pPr>
        <w:pStyle w:val="Paragrafoelenco"/>
        <w:numPr>
          <w:ilvl w:val="0"/>
          <w:numId w:val="1"/>
        </w:numPr>
        <w:jc w:val="both"/>
      </w:pPr>
      <w:r>
        <w:lastRenderedPageBreak/>
        <w:t xml:space="preserve">Non è attualmente prevista la cessione di ulteriori immobili </w:t>
      </w:r>
      <w:r w:rsidR="00304DF5">
        <w:t xml:space="preserve">di proprietà comunale </w:t>
      </w:r>
      <w:r>
        <w:t xml:space="preserve">presenti in zona e oggetto del </w:t>
      </w:r>
      <w:r w:rsidR="00304DF5">
        <w:t xml:space="preserve">medesimo </w:t>
      </w:r>
      <w:r>
        <w:t>frazionamento.</w:t>
      </w:r>
    </w:p>
    <w:p w14:paraId="36708729" w14:textId="77777777" w:rsidR="00447A8E" w:rsidRDefault="00447A8E" w:rsidP="00447A8E">
      <w:pPr>
        <w:pStyle w:val="Paragrafoelenco"/>
      </w:pPr>
    </w:p>
    <w:p w14:paraId="7B8EF596" w14:textId="50BC3C85" w:rsidR="00447A8E" w:rsidRDefault="00447A8E" w:rsidP="0083228F">
      <w:pPr>
        <w:pStyle w:val="Paragrafoelenco"/>
        <w:numPr>
          <w:ilvl w:val="0"/>
          <w:numId w:val="1"/>
        </w:numPr>
        <w:jc w:val="both"/>
      </w:pPr>
      <w:r>
        <w:t xml:space="preserve">Nell’allegato B vanno messe le crocette alle lettere A, B, C, D solo per segnalare gli eventuali illeciti che sono stati commessi, nel caso non ci siano condanne si passa direttamente al punto 2. </w:t>
      </w:r>
      <w:r w:rsidR="00C27092">
        <w:t>In detto punto n</w:t>
      </w:r>
      <w:r>
        <w:t xml:space="preserve">on serve indicare come copie conformi la carta di identità e la ricevuta del bonifico, ma solo </w:t>
      </w:r>
      <w:r w:rsidR="00C27092">
        <w:t xml:space="preserve">eventuale </w:t>
      </w:r>
      <w:r>
        <w:t>altra documentazione</w:t>
      </w:r>
      <w:r w:rsidR="00C27092">
        <w:t>.</w:t>
      </w:r>
    </w:p>
    <w:p w14:paraId="741030B5" w14:textId="77777777" w:rsidR="00C27092" w:rsidRDefault="00C27092" w:rsidP="00C27092">
      <w:pPr>
        <w:pStyle w:val="Paragrafoelenco"/>
      </w:pPr>
    </w:p>
    <w:p w14:paraId="606A962D" w14:textId="11072F88" w:rsidR="00C27092" w:rsidRDefault="00C27092" w:rsidP="0083228F">
      <w:pPr>
        <w:pStyle w:val="Paragrafoelenco"/>
        <w:numPr>
          <w:ilvl w:val="0"/>
          <w:numId w:val="1"/>
        </w:numPr>
        <w:jc w:val="both"/>
      </w:pPr>
      <w:r>
        <w:t>Il divieto di acquisto di più lotti scatta solo se i coniugi acquistano in comunione, perché il secondo coniuge, anche se non offerente, diventa comproprietario del lotto acquistato dal primo. Ove ciò non accada (coniugi in regime di separazione dei beni, acquisto con beni personali del coniuge in regime di comunione legale) il divieto non opera.</w:t>
      </w:r>
    </w:p>
    <w:p w14:paraId="2BDADE43" w14:textId="77777777" w:rsidR="001D2C9B" w:rsidRDefault="001D2C9B" w:rsidP="001D2C9B">
      <w:pPr>
        <w:pStyle w:val="Paragrafoelenco"/>
      </w:pPr>
    </w:p>
    <w:p w14:paraId="39D6B53C" w14:textId="10D5B992" w:rsidR="001D2C9B" w:rsidRDefault="001D2C9B" w:rsidP="001D2C9B">
      <w:pPr>
        <w:jc w:val="both"/>
      </w:pPr>
      <w:r>
        <w:t>25/10/2023</w:t>
      </w:r>
    </w:p>
    <w:p w14:paraId="2BDF2D55" w14:textId="7CF38C7E" w:rsidR="001D2C9B" w:rsidRDefault="001D2C9B" w:rsidP="001D2C9B">
      <w:pPr>
        <w:jc w:val="both"/>
      </w:pPr>
      <w:r>
        <w:t>A seguito di quesiti pervenuti, si precisa quanto segue:</w:t>
      </w:r>
    </w:p>
    <w:p w14:paraId="21B536FF" w14:textId="070E0C1F" w:rsidR="001D2C9B" w:rsidRDefault="001D2C9B" w:rsidP="001D2C9B">
      <w:pPr>
        <w:pStyle w:val="Paragrafoelenco"/>
        <w:numPr>
          <w:ilvl w:val="0"/>
          <w:numId w:val="1"/>
        </w:numPr>
        <w:jc w:val="both"/>
      </w:pPr>
      <w:r w:rsidRPr="001D2C9B">
        <w:t xml:space="preserve">per consegnare </w:t>
      </w:r>
      <w:r w:rsidR="00D92D05">
        <w:t xml:space="preserve">l’offerta </w:t>
      </w:r>
      <w:r w:rsidRPr="001D2C9B">
        <w:t>non servono deleghe e può venire chiunque (anche a mezzo posta), ma la consegna entro il termine resta esclusiva responsabilità del proponente.</w:t>
      </w:r>
    </w:p>
    <w:p w14:paraId="5FA81C10" w14:textId="7FF17218" w:rsidR="001D2C9B" w:rsidRPr="00930F04" w:rsidRDefault="001D2C9B" w:rsidP="00930F04">
      <w:pPr>
        <w:tabs>
          <w:tab w:val="left" w:pos="7656"/>
        </w:tabs>
        <w:jc w:val="both"/>
      </w:pPr>
      <w:r w:rsidRPr="00930F04">
        <w:t>NB: PER RAGIONI TECNICHE NON SI PROCEDERÀ ALLA VENDITA DEL LOTTO N. 3</w:t>
      </w:r>
      <w:r w:rsidR="00930F04" w:rsidRPr="00930F04">
        <w:tab/>
      </w:r>
    </w:p>
    <w:p w14:paraId="512902E2" w14:textId="2D606CB2" w:rsidR="00930F04" w:rsidRDefault="00930F04" w:rsidP="001D2C9B">
      <w:pPr>
        <w:jc w:val="both"/>
        <w:rPr>
          <w:b/>
          <w:bCs/>
          <w:u w:val="single"/>
        </w:rPr>
      </w:pPr>
    </w:p>
    <w:p w14:paraId="6736C546" w14:textId="1E6473BD" w:rsidR="00930F04" w:rsidRPr="00930F04" w:rsidRDefault="00930F04" w:rsidP="001D2C9B">
      <w:pPr>
        <w:jc w:val="both"/>
      </w:pPr>
      <w:r w:rsidRPr="00930F04">
        <w:t>26/10/2023</w:t>
      </w:r>
    </w:p>
    <w:p w14:paraId="0EB8CAD1" w14:textId="2E5E8CB2" w:rsidR="00930F04" w:rsidRDefault="00930F04" w:rsidP="001D2C9B">
      <w:pPr>
        <w:jc w:val="both"/>
        <w:rPr>
          <w:b/>
          <w:bCs/>
          <w:u w:val="single"/>
        </w:rPr>
      </w:pPr>
      <w:r>
        <w:rPr>
          <w:b/>
          <w:bCs/>
          <w:u w:val="single"/>
        </w:rPr>
        <w:t>SI REVOCA L’ANNULLAMENTO DELLA VENDITA DEL LOTTO 3</w:t>
      </w:r>
    </w:p>
    <w:p w14:paraId="49B9A561" w14:textId="4B7EAF40" w:rsidR="00930F04" w:rsidRDefault="00930F04" w:rsidP="00930F04">
      <w:pPr>
        <w:jc w:val="both"/>
        <w:rPr>
          <w:rFonts w:eastAsia="Times New Roman" w:cstheme="minorHAnsi"/>
          <w:lang w:eastAsia="it-IT"/>
        </w:rPr>
      </w:pPr>
      <w:r w:rsidRPr="00930F04">
        <w:rPr>
          <w:rFonts w:eastAsia="Times New Roman" w:cstheme="minorHAnsi"/>
          <w:lang w:eastAsia="it-IT"/>
        </w:rPr>
        <w:t xml:space="preserve">Si precisa che, alla luce degli strumenti urbanistici vigenti, l'intera </w:t>
      </w:r>
      <w:proofErr w:type="spellStart"/>
      <w:r w:rsidRPr="00930F04">
        <w:rPr>
          <w:rFonts w:eastAsia="Times New Roman" w:cstheme="minorHAnsi"/>
          <w:lang w:eastAsia="it-IT"/>
        </w:rPr>
        <w:t>p.ed</w:t>
      </w:r>
      <w:proofErr w:type="spellEnd"/>
      <w:r w:rsidRPr="00930F04">
        <w:rPr>
          <w:rFonts w:eastAsia="Times New Roman" w:cstheme="minorHAnsi"/>
          <w:lang w:eastAsia="it-IT"/>
        </w:rPr>
        <w:t>. è esterna alla zona camper: non è quindi necessario procedere allo spostamento dell'edificio come indicato nella scheda 109 del piano attuativo (allegato nella documentazione tecnica). Resta ferma la possibilità di modificare l'attuale sedime della baita restando entro i confini del lotto.</w:t>
      </w:r>
    </w:p>
    <w:p w14:paraId="56160523" w14:textId="25CFF638" w:rsidR="00C43D5A" w:rsidRDefault="00C43D5A" w:rsidP="00930F04">
      <w:pPr>
        <w:jc w:val="both"/>
        <w:rPr>
          <w:rFonts w:eastAsia="Times New Roman" w:cstheme="minorHAnsi"/>
          <w:lang w:eastAsia="it-IT"/>
        </w:rPr>
      </w:pPr>
    </w:p>
    <w:p w14:paraId="36258867" w14:textId="51EF1762" w:rsidR="00C43D5A" w:rsidRDefault="00C43D5A" w:rsidP="00930F04">
      <w:pPr>
        <w:jc w:val="both"/>
        <w:rPr>
          <w:rFonts w:eastAsia="Times New Roman" w:cstheme="minorHAnsi"/>
          <w:lang w:eastAsia="it-IT"/>
        </w:rPr>
      </w:pPr>
      <w:r>
        <w:rPr>
          <w:rFonts w:eastAsia="Times New Roman" w:cstheme="minorHAnsi"/>
          <w:lang w:eastAsia="it-IT"/>
        </w:rPr>
        <w:t>30/10/2023</w:t>
      </w:r>
    </w:p>
    <w:p w14:paraId="20D4850D" w14:textId="77777777" w:rsidR="00B9443B" w:rsidRDefault="00C43D5A" w:rsidP="00930F04">
      <w:pPr>
        <w:jc w:val="both"/>
        <w:rPr>
          <w:rFonts w:eastAsia="Times New Roman" w:cstheme="minorHAnsi"/>
          <w:lang w:eastAsia="it-IT"/>
        </w:rPr>
      </w:pPr>
      <w:r>
        <w:rPr>
          <w:rFonts w:eastAsia="Times New Roman" w:cstheme="minorHAnsi"/>
          <w:lang w:eastAsia="it-IT"/>
        </w:rPr>
        <w:t xml:space="preserve">Visto l’elevato numero di soggetti interessati, si comunica che </w:t>
      </w:r>
      <w:r w:rsidRPr="00B9443B">
        <w:rPr>
          <w:rFonts w:eastAsia="Times New Roman" w:cstheme="minorHAnsi"/>
          <w:b/>
          <w:bCs/>
          <w:lang w:eastAsia="it-IT"/>
        </w:rPr>
        <w:t>la seduta di apertura delle offerte</w:t>
      </w:r>
      <w:r>
        <w:rPr>
          <w:rFonts w:eastAsia="Times New Roman" w:cstheme="minorHAnsi"/>
          <w:lang w:eastAsia="it-IT"/>
        </w:rPr>
        <w:t xml:space="preserve">, fissata per domani, </w:t>
      </w:r>
      <w:r w:rsidRPr="00B9443B">
        <w:rPr>
          <w:rFonts w:eastAsia="Times New Roman" w:cstheme="minorHAnsi"/>
          <w:b/>
          <w:bCs/>
          <w:lang w:eastAsia="it-IT"/>
        </w:rPr>
        <w:t>martedì 31/10/2023 ore 9.30, potrà essere seguita anche online collegandosi al seguente link</w:t>
      </w:r>
      <w:r>
        <w:rPr>
          <w:rFonts w:eastAsia="Times New Roman" w:cstheme="minorHAnsi"/>
          <w:lang w:eastAsia="it-IT"/>
        </w:rPr>
        <w:t xml:space="preserve">: </w:t>
      </w:r>
    </w:p>
    <w:p w14:paraId="5C60F7EC" w14:textId="4D1E5CA2" w:rsidR="00C43D5A" w:rsidRPr="00930F04" w:rsidRDefault="00C43D5A" w:rsidP="00B9443B">
      <w:pPr>
        <w:jc w:val="center"/>
        <w:rPr>
          <w:rFonts w:eastAsia="Times New Roman" w:cstheme="minorHAnsi"/>
          <w:lang w:eastAsia="it-IT"/>
        </w:rPr>
      </w:pPr>
      <w:r w:rsidRPr="00C43D5A">
        <w:rPr>
          <w:rFonts w:eastAsia="Times New Roman" w:cstheme="minorHAnsi"/>
          <w:lang w:eastAsia="it-IT"/>
        </w:rPr>
        <w:t>https://meet.google.com/wxa-hqka-bxe?hs=122&amp;authuser=0</w:t>
      </w:r>
    </w:p>
    <w:p w14:paraId="7C486054" w14:textId="77777777" w:rsidR="00930F04" w:rsidRPr="001D2C9B" w:rsidRDefault="00930F04" w:rsidP="001D2C9B">
      <w:pPr>
        <w:jc w:val="both"/>
      </w:pPr>
    </w:p>
    <w:sectPr w:rsidR="00930F04" w:rsidRPr="001D2C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742AF"/>
    <w:multiLevelType w:val="hybridMultilevel"/>
    <w:tmpl w:val="39748D14"/>
    <w:lvl w:ilvl="0" w:tplc="EE8C30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F3"/>
    <w:rsid w:val="001203FE"/>
    <w:rsid w:val="001577F3"/>
    <w:rsid w:val="001A350C"/>
    <w:rsid w:val="001D2C9B"/>
    <w:rsid w:val="00290DB2"/>
    <w:rsid w:val="00304DF5"/>
    <w:rsid w:val="00414579"/>
    <w:rsid w:val="00447A8E"/>
    <w:rsid w:val="005B6AAF"/>
    <w:rsid w:val="00665755"/>
    <w:rsid w:val="006D778E"/>
    <w:rsid w:val="00761248"/>
    <w:rsid w:val="00801C22"/>
    <w:rsid w:val="0083228F"/>
    <w:rsid w:val="00930F04"/>
    <w:rsid w:val="00A95DFB"/>
    <w:rsid w:val="00B86770"/>
    <w:rsid w:val="00B9443B"/>
    <w:rsid w:val="00C27092"/>
    <w:rsid w:val="00C43D5A"/>
    <w:rsid w:val="00C65E82"/>
    <w:rsid w:val="00D92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F8A0"/>
  <w15:chartTrackingRefBased/>
  <w15:docId w15:val="{E99A7374-A69C-46C6-BB6E-336CE5B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22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018120">
      <w:bodyDiv w:val="1"/>
      <w:marLeft w:val="0"/>
      <w:marRight w:val="0"/>
      <w:marTop w:val="0"/>
      <w:marBottom w:val="0"/>
      <w:divBdr>
        <w:top w:val="none" w:sz="0" w:space="0" w:color="auto"/>
        <w:left w:val="none" w:sz="0" w:space="0" w:color="auto"/>
        <w:bottom w:val="none" w:sz="0" w:space="0" w:color="auto"/>
        <w:right w:val="none" w:sz="0" w:space="0" w:color="auto"/>
      </w:divBdr>
      <w:divsChild>
        <w:div w:id="12374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666</Words>
  <Characters>3802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Perugini Egle</dc:creator>
  <cp:keywords/>
  <dc:description/>
  <cp:lastModifiedBy>Perugini Egle</cp:lastModifiedBy>
  <cp:revision>17</cp:revision>
  <dcterms:created xsi:type="dcterms:W3CDTF">2023-10-05T09:31:00Z</dcterms:created>
  <dcterms:modified xsi:type="dcterms:W3CDTF">2023-10-30T10:39:00Z</dcterms:modified>
</cp:coreProperties>
</file>